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Arial" w:hAnsi="Arial"/>
        </w:rPr>
      </w:pPr>
    </w:p>
    <w:p>
      <w:pPr>
        <w:pStyle w:val="Body A"/>
        <w:rPr>
          <w:rFonts w:ascii="Arial" w:cs="Arial" w:hAnsi="Arial" w:eastAsia="Arial"/>
          <w:b w:val="1"/>
          <w:bCs w:val="1"/>
        </w:rPr>
      </w:pPr>
      <w:r>
        <w:rPr>
          <w:rFonts w:ascii="Arial" w:hAnsi="Arial"/>
          <w:b w:val="1"/>
          <w:bCs w:val="1"/>
          <w:rtl w:val="0"/>
          <w:lang w:val="en-US"/>
        </w:rPr>
        <w:t>Strategies for Effectively Engaging Afghan Immigrants in U.S. Research Studies; Findings from Iqbal Study</w:t>
      </w:r>
    </w:p>
    <w:p>
      <w:pPr>
        <w:pStyle w:val="Body A"/>
        <w:rPr>
          <w:rFonts w:ascii="Arial" w:cs="Arial" w:hAnsi="Arial" w:eastAsia="Arial"/>
        </w:rPr>
      </w:pPr>
    </w:p>
    <w:p>
      <w:pPr>
        <w:pStyle w:val="Body A"/>
        <w:rPr>
          <w:rFonts w:ascii="Arial" w:cs="Arial" w:hAnsi="Arial" w:eastAsia="Arial"/>
        </w:rPr>
      </w:pPr>
      <w:r>
        <w:rPr>
          <w:rFonts w:ascii="Arial" w:hAnsi="Arial"/>
          <w:u w:val="single"/>
          <w:rtl w:val="0"/>
        </w:rPr>
        <w:t>Leila Taj</w:t>
      </w:r>
      <w:r>
        <w:rPr>
          <w:rFonts w:ascii="Arial" w:hAnsi="Arial"/>
          <w:vertAlign w:val="superscript"/>
          <w:rtl w:val="0"/>
        </w:rPr>
        <w:t>1</w:t>
      </w:r>
      <w:r>
        <w:rPr>
          <w:rFonts w:ascii="Arial" w:hAnsi="Arial"/>
          <w:rtl w:val="0"/>
        </w:rPr>
        <w:t>, Said Iftekhar Sadaat</w:t>
      </w:r>
      <w:r>
        <w:rPr>
          <w:rFonts w:ascii="Arial" w:hAnsi="Arial"/>
          <w:vertAlign w:val="superscript"/>
          <w:rtl w:val="0"/>
        </w:rPr>
        <w:t>1</w:t>
      </w:r>
      <w:r>
        <w:rPr>
          <w:rFonts w:ascii="Arial" w:hAnsi="Arial"/>
          <w:rtl w:val="0"/>
        </w:rPr>
        <w:t>, Sina Neshat</w:t>
      </w:r>
      <w:r>
        <w:rPr>
          <w:rFonts w:ascii="Arial" w:hAnsi="Arial"/>
          <w:vertAlign w:val="superscript"/>
          <w:rtl w:val="0"/>
        </w:rPr>
        <w:t>1</w:t>
      </w:r>
      <w:r>
        <w:rPr>
          <w:rFonts w:ascii="Arial" w:hAnsi="Arial"/>
          <w:rtl w:val="0"/>
          <w:lang w:val="it-IT"/>
        </w:rPr>
        <w:t>, Sima Naderi</w:t>
      </w:r>
      <w:r>
        <w:rPr>
          <w:rFonts w:ascii="Arial" w:hAnsi="Arial"/>
          <w:vertAlign w:val="superscript"/>
          <w:rtl w:val="0"/>
        </w:rPr>
        <w:t>1</w:t>
      </w:r>
      <w:r>
        <w:rPr>
          <w:rFonts w:ascii="Arial" w:hAnsi="Arial"/>
          <w:rtl w:val="0"/>
        </w:rPr>
        <w:t>, Jonanne Talebloo</w:t>
      </w:r>
      <w:r>
        <w:rPr>
          <w:rFonts w:ascii="Arial" w:hAnsi="Arial"/>
          <w:vertAlign w:val="superscript"/>
          <w:rtl w:val="0"/>
        </w:rPr>
        <w:t>2</w:t>
      </w:r>
      <w:r>
        <w:rPr>
          <w:rFonts w:ascii="Arial" w:hAnsi="Arial"/>
          <w:rtl w:val="0"/>
        </w:rPr>
        <w:t>, Ali Mirzazadeh</w:t>
      </w:r>
      <w:r>
        <w:rPr>
          <w:rFonts w:ascii="Arial" w:hAnsi="Arial"/>
          <w:vertAlign w:val="superscript"/>
          <w:rtl w:val="0"/>
        </w:rPr>
        <w:t>1</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Affiliation:</w:t>
      </w:r>
    </w:p>
    <w:p>
      <w:pPr>
        <w:pStyle w:val="List Paragraph"/>
        <w:numPr>
          <w:ilvl w:val="0"/>
          <w:numId w:val="2"/>
        </w:numPr>
        <w:bidi w:val="0"/>
        <w:ind w:right="0"/>
        <w:jc w:val="left"/>
        <w:rPr>
          <w:rFonts w:ascii="Arial" w:hAnsi="Arial"/>
          <w:rtl w:val="0"/>
          <w:lang w:val="en-US"/>
        </w:rPr>
      </w:pPr>
      <w:r>
        <w:rPr>
          <w:rFonts w:ascii="Arial" w:hAnsi="Arial"/>
          <w:rtl w:val="0"/>
          <w:lang w:val="en-US"/>
        </w:rPr>
        <w:t>Institute for Global Health Sciences, University of California San Francisco</w:t>
      </w:r>
    </w:p>
    <w:p>
      <w:pPr>
        <w:pStyle w:val="List Paragraph"/>
        <w:numPr>
          <w:ilvl w:val="0"/>
          <w:numId w:val="2"/>
        </w:numPr>
        <w:bidi w:val="0"/>
        <w:ind w:right="0"/>
        <w:jc w:val="left"/>
        <w:rPr>
          <w:rFonts w:ascii="Arial" w:hAnsi="Arial"/>
          <w:rtl w:val="0"/>
          <w:lang w:val="en-US"/>
        </w:rPr>
      </w:pPr>
      <w:r>
        <w:rPr>
          <w:rFonts w:ascii="Arial" w:hAnsi="Arial"/>
          <w:rtl w:val="0"/>
          <w:lang w:val="en-US"/>
        </w:rPr>
        <w:t xml:space="preserve">University of California, Berkeley </w:t>
      </w:r>
    </w:p>
    <w:p>
      <w:pPr>
        <w:pStyle w:val="Body A"/>
        <w:rPr>
          <w:rFonts w:ascii="Arial" w:cs="Arial" w:hAnsi="Arial" w:eastAsia="Arial"/>
        </w:rPr>
      </w:pPr>
    </w:p>
    <w:p>
      <w:pPr>
        <w:pStyle w:val="Body A"/>
        <w:rPr>
          <w:rFonts w:ascii="Arial" w:cs="Arial" w:hAnsi="Arial" w:eastAsia="Arial"/>
        </w:rPr>
      </w:pPr>
      <w:r>
        <w:rPr>
          <w:rFonts w:ascii="Arial" w:hAnsi="Arial"/>
          <w:b w:val="1"/>
          <w:bCs w:val="1"/>
          <w:rtl w:val="0"/>
          <w:lang w:val="en-US"/>
        </w:rPr>
        <w:t>Background</w:t>
      </w:r>
      <w:r>
        <w:rPr>
          <w:rFonts w:ascii="Arial" w:hAnsi="Arial"/>
          <w:rtl w:val="0"/>
          <w:lang w:val="en-US"/>
        </w:rPr>
        <w:t>: Immigrants are often hard to reach and engage in research due to significant life and health challenges during early immigration stages, or due to cultural differences. Since 2021, over 85,000 Afghans have resettled in the U.S., forming a new large immigrant community, in California particularly. We examined key considerations for conducting research among Afghan new immigrants in the U.S.</w:t>
      </w:r>
    </w:p>
    <w:p>
      <w:pPr>
        <w:pStyle w:val="Body A"/>
        <w:rPr>
          <w:rFonts w:ascii="Arial" w:cs="Arial" w:hAnsi="Arial" w:eastAsia="Arial"/>
        </w:rPr>
      </w:pPr>
    </w:p>
    <w:p>
      <w:pPr>
        <w:pStyle w:val="Body A"/>
        <w:rPr>
          <w:rFonts w:ascii="Arial" w:cs="Arial" w:hAnsi="Arial" w:eastAsia="Arial"/>
        </w:rPr>
      </w:pPr>
      <w:r>
        <w:rPr>
          <w:rFonts w:ascii="Arial" w:hAnsi="Arial"/>
          <w:b w:val="1"/>
          <w:bCs w:val="1"/>
          <w:rtl w:val="0"/>
          <w:lang w:val="en-US"/>
        </w:rPr>
        <w:t xml:space="preserve">Methods: </w:t>
      </w:r>
      <w:r>
        <w:rPr>
          <w:rFonts w:ascii="Arial" w:hAnsi="Arial"/>
          <w:rtl w:val="0"/>
          <w:lang w:val="en-US"/>
        </w:rPr>
        <w:t>From May to June 2024, we conducted 8 in-depth interviews and one focus group discussion with 10 Afghan immigrants who had been in the U.S. for over five years and were actively involved in supporting newer immigrants in Sacramento, California. The group was diverse in both background and gender. After translating the interviews from Dari and Pashto into English, a content analysis was performed to identify key themes and insights.</w:t>
      </w:r>
    </w:p>
    <w:p>
      <w:pPr>
        <w:pStyle w:val="Body A"/>
        <w:rPr>
          <w:rFonts w:ascii="Arial" w:cs="Arial" w:hAnsi="Arial" w:eastAsia="Arial"/>
        </w:rPr>
      </w:pPr>
    </w:p>
    <w:p>
      <w:pPr>
        <w:pStyle w:val="Body A"/>
        <w:rPr>
          <w:rFonts w:ascii="Arial" w:cs="Arial" w:hAnsi="Arial" w:eastAsia="Arial"/>
        </w:rPr>
      </w:pPr>
      <w:r>
        <w:rPr>
          <w:rFonts w:ascii="Arial" w:hAnsi="Arial"/>
          <w:b w:val="1"/>
          <w:bCs w:val="1"/>
          <w:rtl w:val="0"/>
          <w:lang w:val="en-US"/>
        </w:rPr>
        <w:t>Results</w:t>
      </w:r>
      <w:r>
        <w:rPr>
          <w:rFonts w:ascii="Arial" w:hAnsi="Arial"/>
          <w:rtl w:val="0"/>
          <w:lang w:val="en-US"/>
        </w:rPr>
        <w:t>: Our analysis highlighted specific considerations when sampling, interviewing and engaging Afghan immigrants in a study. Regarding sampling, mosques, NGOs, and social media platforms like Facebook and WhatsApp were reported as effective recruitment locations. Peer referral approaches, when involved community leaders for advocacy, were mentioned as the best method for identifying and enrolling participants. Offering a minimum of $50 incentive or raffle of $100 was recommended to encourage participation. Special targeted sampling was recommended for new Afghan immigrants who often form small, informal groups. Regarding interviewing, participants reported cultural sensitivity to be crucial, particularly regarding gender dynamics and language barriers. Female participants should be interviewed by female interviewers, and male participants by male interviewers, in their preferred language. The format of interviews (online or in-person) and scheduling should align with participants' preferences. Clear reassurances about data privacy are essential due to potential concerns. Regarding engagement for longitudinal studies, maintaining participant engagement requires offering incentives and regular communications, such as periodic text messages or organizing culturally relevant events like Nowr</w:t>
      </w:r>
      <w:r>
        <w:rPr>
          <w:rFonts w:ascii="Arial" w:hAnsi="Arial"/>
          <w:rtl w:val="0"/>
        </w:rPr>
        <w:t>o</w:t>
      </w:r>
      <w:r>
        <w:rPr>
          <w:rFonts w:ascii="Arial" w:hAnsi="Arial"/>
          <w:rtl w:val="0"/>
          <w:lang w:val="en-US"/>
        </w:rPr>
        <w:t>uz or Eid parties.</w:t>
      </w:r>
    </w:p>
    <w:p>
      <w:pPr>
        <w:pStyle w:val="Body A"/>
        <w:rPr>
          <w:rFonts w:ascii="Arial" w:cs="Arial" w:hAnsi="Arial" w:eastAsia="Arial"/>
          <w:lang w:val="en-US"/>
        </w:rPr>
      </w:pPr>
      <w:r>
        <w:rPr>
          <w:rFonts w:ascii="Arial" w:cs="Arial" w:hAnsi="Arial" w:eastAsia="Arial"/>
        </w:rPr>
        <w:br w:type="textWrapping"/>
      </w:r>
      <w:r>
        <w:rPr>
          <w:rFonts w:ascii="Arial" w:hAnsi="Arial"/>
          <w:b w:val="1"/>
          <w:bCs w:val="1"/>
          <w:rtl w:val="0"/>
          <w:lang w:val="en-US"/>
        </w:rPr>
        <w:t>Interpretation</w:t>
      </w:r>
      <w:r>
        <w:rPr>
          <w:rFonts w:ascii="Arial" w:hAnsi="Arial"/>
          <w:rtl w:val="0"/>
          <w:lang w:val="en-US"/>
        </w:rPr>
        <w:t>: Our analysis highlighted the importance of culturally sensitive approaches when sampling, interviewing, and engaging Afghan immigrants in research. Effective recruitment, participant retention, and data collection hinge on peer-based strategies</w:t>
      </w:r>
      <w:r>
        <w:rPr>
          <w:rFonts w:ascii="Arial" w:hAnsi="Arial"/>
          <w:rtl w:val="0"/>
          <w:lang w:val="en-US"/>
        </w:rPr>
        <w:t xml:space="preserve"> and </w:t>
      </w:r>
      <w:r>
        <w:rPr>
          <w:rFonts w:ascii="Arial" w:hAnsi="Arial"/>
          <w:rtl w:val="0"/>
          <w:lang w:val="en-US"/>
        </w:rPr>
        <w:t>gender-specific interviewing practices</w:t>
      </w:r>
      <w:r>
        <w:rPr>
          <w:rFonts w:ascii="Arial" w:hAnsi="Arial"/>
          <w:rtl w:val="0"/>
          <w:lang w:val="en-US"/>
        </w:rPr>
        <w:t>.</w:t>
      </w:r>
    </w:p>
    <w:p>
      <w:pPr>
        <w:pStyle w:val="Body A"/>
      </w:pPr>
      <w:r>
        <w:rPr>
          <w:rFonts w:ascii="Arial" w:cs="Arial" w:hAnsi="Arial" w:eastAsia="Arial"/>
        </w:rPr>
        <w:br w:type="textWrapping"/>
      </w:r>
      <w:r>
        <w:rPr>
          <w:rFonts w:ascii="Arial" w:hAnsi="Arial"/>
          <w:b w:val="1"/>
          <w:bCs w:val="1"/>
          <w:rtl w:val="0"/>
          <w:lang w:val="en-US"/>
        </w:rPr>
        <w:t>Source of funding</w:t>
      </w:r>
      <w:r>
        <w:rPr>
          <w:rFonts w:ascii="Arial" w:hAnsi="Arial"/>
          <w:rtl w:val="0"/>
          <w:lang w:val="en-US"/>
        </w:rPr>
        <w:t xml:space="preserve">: Resource Allocation Program (RAP) </w:t>
      </w:r>
      <w:r>
        <w:rPr>
          <w:rFonts w:ascii="Arial" w:hAnsi="Arial" w:hint="default"/>
          <w:rtl w:val="0"/>
          <w:lang w:val="en-US"/>
        </w:rPr>
        <w:t>–</w:t>
      </w:r>
      <w:r>
        <w:rPr>
          <w:rFonts w:ascii="Arial" w:hAnsi="Arial"/>
          <w:rtl w:val="0"/>
          <w:lang w:val="pt-PT"/>
        </w:rPr>
        <w:t xml:space="preserve"> UCSF</w:t>
      </w:r>
    </w:p>
    <w:sectPr>
      <w:headerReference w:type="default" r:id="rId4"/>
      <w:footerReference w:type="default" r:id="rId5"/>
      <w:pgSz w:w="12240" w:h="15840" w:orient="portrait"/>
      <w:pgMar w:top="738" w:right="1440" w:bottom="882"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